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2392" w14:textId="7D293452" w:rsidR="00E57128" w:rsidRDefault="00653697" w:rsidP="002C0EBD">
      <w:pPr>
        <w:jc w:val="center"/>
        <w:rPr>
          <w:sz w:val="28"/>
          <w:szCs w:val="28"/>
        </w:rPr>
      </w:pPr>
      <w:r>
        <w:rPr>
          <w:rFonts w:ascii="Cavolini" w:hAnsi="Cavolini" w:cs="Cavolini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4F8A308C" wp14:editId="028616A1">
            <wp:simplePos x="0" y="0"/>
            <wp:positionH relativeFrom="column">
              <wp:posOffset>476250</wp:posOffset>
            </wp:positionH>
            <wp:positionV relativeFrom="paragraph">
              <wp:posOffset>9525</wp:posOffset>
            </wp:positionV>
            <wp:extent cx="1562100" cy="3914775"/>
            <wp:effectExtent l="0" t="0" r="0" b="9525"/>
            <wp:wrapTight wrapText="bothSides">
              <wp:wrapPolygon edited="0">
                <wp:start x="8429" y="0"/>
                <wp:lineTo x="8429" y="3364"/>
                <wp:lineTo x="6849" y="3784"/>
                <wp:lineTo x="2634" y="4940"/>
                <wp:lineTo x="527" y="6727"/>
                <wp:lineTo x="263" y="8409"/>
                <wp:lineTo x="1580" y="10091"/>
                <wp:lineTo x="8429" y="13454"/>
                <wp:lineTo x="3161" y="15136"/>
                <wp:lineTo x="1844" y="15872"/>
                <wp:lineTo x="527" y="16712"/>
                <wp:lineTo x="527" y="18499"/>
                <wp:lineTo x="2898" y="20391"/>
                <wp:lineTo x="7902" y="21337"/>
                <wp:lineTo x="9220" y="21547"/>
                <wp:lineTo x="11854" y="21547"/>
                <wp:lineTo x="13171" y="21337"/>
                <wp:lineTo x="17649" y="20391"/>
                <wp:lineTo x="17912" y="20181"/>
                <wp:lineTo x="19756" y="18499"/>
                <wp:lineTo x="19493" y="16818"/>
                <wp:lineTo x="17122" y="15556"/>
                <wp:lineTo x="10537" y="13454"/>
                <wp:lineTo x="16068" y="11772"/>
                <wp:lineTo x="19493" y="10091"/>
                <wp:lineTo x="20810" y="8409"/>
                <wp:lineTo x="20546" y="6727"/>
                <wp:lineTo x="18966" y="5571"/>
                <wp:lineTo x="18439" y="4835"/>
                <wp:lineTo x="14224" y="3889"/>
                <wp:lineTo x="10537" y="3364"/>
                <wp:lineTo x="10010" y="0"/>
                <wp:lineTo x="8429" y="0"/>
              </wp:wrapPolygon>
            </wp:wrapTight>
            <wp:docPr id="2" name="Picture 2" descr="A picture containing colorful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lorful, window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t="5058" r="56111" b="14991"/>
                    <a:stretch/>
                  </pic:blipFill>
                  <pic:spPr bwMode="auto">
                    <a:xfrm>
                      <a:off x="0" y="0"/>
                      <a:ext cx="156210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758E" w:rsidRPr="00FD758E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F372C7" wp14:editId="333BA0D7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74580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0E5B" w14:textId="564180F5" w:rsidR="00FD758E" w:rsidRDefault="00FD758E" w:rsidP="00FD758E">
                            <w:pPr>
                              <w:jc w:val="center"/>
                            </w:pPr>
                            <w:r>
                              <w:t>BERLINPECK.ORG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BERLIN-PECK MEMORIAL LIBRARY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860-828-7126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7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5pt;width:587.25pt;height: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" stroked="f">
                <v:textbox>
                  <w:txbxContent>
                    <w:p w14:paraId="0C310E5B" w14:textId="564180F5" w:rsidR="00FD758E" w:rsidRDefault="00FD758E" w:rsidP="00FD758E">
                      <w:pPr>
                        <w:jc w:val="center"/>
                      </w:pPr>
                      <w:r>
                        <w:t>BERLINPECK.ORG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BERLIN-PECK MEMORIAL LIBRARY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860-828-7126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B1707" w14:textId="77777777" w:rsidR="00653697" w:rsidRDefault="00653697" w:rsidP="000E5A4C">
      <w:pPr>
        <w:spacing w:line="216" w:lineRule="auto"/>
        <w:ind w:left="720"/>
        <w:jc w:val="center"/>
        <w:rPr>
          <w:rFonts w:ascii="Cavolini" w:hAnsi="Cavolini" w:cs="Cavolini"/>
          <w:noProof/>
          <w:sz w:val="96"/>
          <w:szCs w:val="96"/>
        </w:rPr>
      </w:pPr>
    </w:p>
    <w:p w14:paraId="15B8A37F" w14:textId="622DD32C" w:rsidR="000E5A4C" w:rsidRPr="00403214" w:rsidRDefault="00403214" w:rsidP="000E5A4C">
      <w:pPr>
        <w:spacing w:line="216" w:lineRule="auto"/>
        <w:ind w:left="720"/>
        <w:jc w:val="center"/>
        <w:rPr>
          <w:rFonts w:ascii="Cavolini" w:hAnsi="Cavolini" w:cs="Cavolini"/>
          <w:noProof/>
          <w:sz w:val="96"/>
          <w:szCs w:val="96"/>
        </w:rPr>
      </w:pPr>
      <w:r w:rsidRPr="00403214">
        <w:rPr>
          <w:rFonts w:ascii="Cavolini" w:hAnsi="Cavolini" w:cs="Cavolini"/>
          <w:noProof/>
          <w:sz w:val="96"/>
          <w:szCs w:val="96"/>
        </w:rPr>
        <w:t>Recycled CD</w:t>
      </w:r>
    </w:p>
    <w:p w14:paraId="79DC0D6C" w14:textId="41FB755B" w:rsidR="00403214" w:rsidRPr="00403214" w:rsidRDefault="00403214" w:rsidP="000E5A4C">
      <w:pPr>
        <w:spacing w:line="216" w:lineRule="auto"/>
        <w:ind w:left="72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403214">
        <w:rPr>
          <w:rFonts w:ascii="Cavolini" w:hAnsi="Cavolini" w:cs="Cavolini"/>
          <w:noProof/>
          <w:sz w:val="96"/>
          <w:szCs w:val="96"/>
        </w:rPr>
        <w:t>Mandalas</w:t>
      </w:r>
    </w:p>
    <w:p w14:paraId="312438F4" w14:textId="77777777" w:rsidR="00653697" w:rsidRDefault="00356156" w:rsidP="00356156">
      <w:pPr>
        <w:spacing w:line="168" w:lineRule="auto"/>
        <w:ind w:left="720"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</w:t>
      </w:r>
      <w:r w:rsidR="00A65D11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="004D0FC6">
        <w:rPr>
          <w:rFonts w:asciiTheme="majorHAnsi" w:hAnsiTheme="majorHAnsi" w:cstheme="majorHAnsi"/>
          <w:b/>
          <w:bCs/>
          <w:sz w:val="28"/>
          <w:szCs w:val="28"/>
        </w:rPr>
        <w:t xml:space="preserve">         </w:t>
      </w:r>
    </w:p>
    <w:p w14:paraId="696EFEB2" w14:textId="77777777" w:rsidR="00653697" w:rsidRDefault="00653697" w:rsidP="00356156">
      <w:pPr>
        <w:spacing w:line="168" w:lineRule="auto"/>
        <w:ind w:left="720" w:firstLine="720"/>
        <w:rPr>
          <w:rFonts w:asciiTheme="majorHAnsi" w:hAnsiTheme="majorHAnsi" w:cstheme="majorHAnsi"/>
          <w:b/>
          <w:bCs/>
          <w:sz w:val="28"/>
          <w:szCs w:val="28"/>
        </w:rPr>
      </w:pPr>
    </w:p>
    <w:p w14:paraId="7272C380" w14:textId="55A9AD6C" w:rsidR="00FD758E" w:rsidRPr="00FD758E" w:rsidRDefault="00FD758E" w:rsidP="00653697">
      <w:pPr>
        <w:spacing w:line="168" w:lineRule="auto"/>
        <w:ind w:left="720" w:firstLine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D758E">
        <w:rPr>
          <w:rFonts w:asciiTheme="majorHAnsi" w:hAnsiTheme="majorHAnsi" w:cstheme="majorHAnsi"/>
          <w:b/>
          <w:bCs/>
          <w:sz w:val="28"/>
          <w:szCs w:val="28"/>
        </w:rPr>
        <w:t>Take &amp; Make Kit #</w:t>
      </w:r>
      <w:r w:rsidR="00403214"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20F76A8E" w14:textId="1AADA38D" w:rsidR="00FD758E" w:rsidRDefault="00403214" w:rsidP="00356156">
      <w:pPr>
        <w:spacing w:after="0"/>
        <w:ind w:left="5760"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January 2021</w:t>
      </w:r>
    </w:p>
    <w:p w14:paraId="3E895244" w14:textId="3525D4FE" w:rsidR="00BA6EA6" w:rsidRDefault="00BA6EA6" w:rsidP="00FD758E">
      <w:pPr>
        <w:spacing w:after="0"/>
        <w:ind w:left="720" w:firstLine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768E965" w14:textId="77777777" w:rsidR="00BA6EA6" w:rsidRPr="00FD758E" w:rsidRDefault="00BA6EA6" w:rsidP="00FD758E">
      <w:pPr>
        <w:spacing w:after="0"/>
        <w:ind w:left="720" w:firstLine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441"/>
      </w:tblGrid>
      <w:tr w:rsidR="001C15B3" w14:paraId="22CE6331" w14:textId="5C062723" w:rsidTr="001C15B3">
        <w:trPr>
          <w:trHeight w:val="357"/>
        </w:trPr>
        <w:tc>
          <w:tcPr>
            <w:tcW w:w="5629" w:type="dxa"/>
          </w:tcPr>
          <w:p w14:paraId="30AA8E63" w14:textId="796A2F5E" w:rsidR="001C15B3" w:rsidRPr="002C0EBD" w:rsidRDefault="001C15B3" w:rsidP="002C0E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C0EBD">
              <w:rPr>
                <w:b/>
                <w:bCs/>
                <w:sz w:val="28"/>
                <w:szCs w:val="28"/>
                <w:u w:val="single"/>
              </w:rPr>
              <w:t>Included in Kit</w:t>
            </w:r>
          </w:p>
        </w:tc>
        <w:tc>
          <w:tcPr>
            <w:tcW w:w="5441" w:type="dxa"/>
          </w:tcPr>
          <w:p w14:paraId="1A2544D5" w14:textId="30FAB52D" w:rsidR="001C15B3" w:rsidRPr="002C0EBD" w:rsidRDefault="001C15B3" w:rsidP="002C0E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C0EBD">
              <w:rPr>
                <w:b/>
                <w:bCs/>
                <w:sz w:val="28"/>
                <w:szCs w:val="28"/>
                <w:u w:val="single"/>
              </w:rPr>
              <w:t>Additional Supplies Needed</w:t>
            </w:r>
          </w:p>
        </w:tc>
      </w:tr>
      <w:tr w:rsidR="001C15B3" w14:paraId="126D3E15" w14:textId="096ADC25" w:rsidTr="001C15B3">
        <w:trPr>
          <w:trHeight w:val="357"/>
        </w:trPr>
        <w:tc>
          <w:tcPr>
            <w:tcW w:w="5629" w:type="dxa"/>
          </w:tcPr>
          <w:p w14:paraId="62C01109" w14:textId="0CBA790C" w:rsidR="001C15B3" w:rsidRPr="0074181C" w:rsidRDefault="00403214" w:rsidP="002C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(2)</w:t>
            </w:r>
          </w:p>
        </w:tc>
        <w:tc>
          <w:tcPr>
            <w:tcW w:w="5441" w:type="dxa"/>
          </w:tcPr>
          <w:p w14:paraId="7D5A75FC" w14:textId="1520D235" w:rsidR="001C15B3" w:rsidRDefault="003D40B6" w:rsidP="002C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Sturdy clear p</w:t>
            </w:r>
            <w:r w:rsidR="00403214">
              <w:rPr>
                <w:sz w:val="28"/>
                <w:szCs w:val="28"/>
              </w:rPr>
              <w:t>acking tape</w:t>
            </w:r>
          </w:p>
        </w:tc>
      </w:tr>
      <w:tr w:rsidR="001C15B3" w14:paraId="714A8515" w14:textId="119C9EF6" w:rsidTr="001C15B3">
        <w:trPr>
          <w:trHeight w:val="341"/>
        </w:trPr>
        <w:tc>
          <w:tcPr>
            <w:tcW w:w="5629" w:type="dxa"/>
          </w:tcPr>
          <w:p w14:paraId="594D7E18" w14:textId="6B11BDC4" w:rsidR="000E5A4C" w:rsidRDefault="00403214" w:rsidP="002C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puffy paint (</w:t>
            </w:r>
            <w:r w:rsidR="00653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bag)</w:t>
            </w:r>
          </w:p>
          <w:p w14:paraId="4F4A480D" w14:textId="77777777" w:rsidR="004D0FC6" w:rsidRDefault="00403214" w:rsidP="002C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 paint (4)</w:t>
            </w:r>
          </w:p>
          <w:p w14:paraId="03F37716" w14:textId="0EC001A2" w:rsidR="00403214" w:rsidRDefault="00403214" w:rsidP="004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</w:t>
            </w:r>
          </w:p>
        </w:tc>
        <w:tc>
          <w:tcPr>
            <w:tcW w:w="5441" w:type="dxa"/>
          </w:tcPr>
          <w:p w14:paraId="59BA36D9" w14:textId="77777777" w:rsidR="003D40B6" w:rsidRDefault="003D40B6" w:rsidP="003D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Painters tape or masking tape</w:t>
            </w:r>
          </w:p>
          <w:p w14:paraId="4A13F0D2" w14:textId="77777777" w:rsidR="00403214" w:rsidRDefault="00403214" w:rsidP="0095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 soap</w:t>
            </w:r>
          </w:p>
          <w:p w14:paraId="2E2C3719" w14:textId="4B439521" w:rsidR="00403214" w:rsidRDefault="00403214" w:rsidP="004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Rubbing alcohol (optional)</w:t>
            </w:r>
          </w:p>
        </w:tc>
      </w:tr>
      <w:tr w:rsidR="001C15B3" w14:paraId="04C72212" w14:textId="77777777" w:rsidTr="001C15B3">
        <w:trPr>
          <w:trHeight w:val="357"/>
        </w:trPr>
        <w:tc>
          <w:tcPr>
            <w:tcW w:w="5629" w:type="dxa"/>
          </w:tcPr>
          <w:p w14:paraId="5DACB989" w14:textId="3DD33EA5" w:rsidR="00403214" w:rsidRPr="00403214" w:rsidRDefault="00403214" w:rsidP="006A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14:paraId="46569CFA" w14:textId="7A5C6651" w:rsidR="00653697" w:rsidRDefault="00653697" w:rsidP="004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paintbrush</w:t>
            </w:r>
          </w:p>
        </w:tc>
      </w:tr>
    </w:tbl>
    <w:p w14:paraId="0AFC855C" w14:textId="275863A2" w:rsidR="002C0EBD" w:rsidRDefault="002C0EBD" w:rsidP="00FD758E">
      <w:pPr>
        <w:spacing w:after="0"/>
        <w:rPr>
          <w:sz w:val="28"/>
          <w:szCs w:val="28"/>
        </w:rPr>
      </w:pPr>
    </w:p>
    <w:p w14:paraId="62C432AC" w14:textId="3C600F89" w:rsidR="00145997" w:rsidRDefault="00F14865" w:rsidP="002C0E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help </w:t>
      </w:r>
      <w:r w:rsidR="00B136C1">
        <w:rPr>
          <w:sz w:val="28"/>
          <w:szCs w:val="28"/>
        </w:rPr>
        <w:t>in completing</w:t>
      </w:r>
      <w:r w:rsidR="00B72D51">
        <w:rPr>
          <w:sz w:val="28"/>
          <w:szCs w:val="28"/>
        </w:rPr>
        <w:t xml:space="preserve"> the project, </w:t>
      </w:r>
      <w:r w:rsidR="004C281E">
        <w:rPr>
          <w:sz w:val="28"/>
          <w:szCs w:val="28"/>
        </w:rPr>
        <w:t>follow the video tutorial</w:t>
      </w:r>
      <w:r w:rsidR="00170964">
        <w:rPr>
          <w:sz w:val="28"/>
          <w:szCs w:val="28"/>
        </w:rPr>
        <w:t>s</w:t>
      </w:r>
      <w:r w:rsidR="004C281E">
        <w:rPr>
          <w:sz w:val="28"/>
          <w:szCs w:val="28"/>
        </w:rPr>
        <w:t xml:space="preserve"> for this craft at </w:t>
      </w:r>
      <w:hyperlink r:id="rId6" w:history="1">
        <w:r w:rsidR="004C281E" w:rsidRPr="00A20284">
          <w:rPr>
            <w:rStyle w:val="Hyperlink"/>
            <w:sz w:val="28"/>
            <w:szCs w:val="28"/>
          </w:rPr>
          <w:t>https://berlinpeck.org/events/take-make/</w:t>
        </w:r>
      </w:hyperlink>
      <w:r w:rsidR="004C281E">
        <w:rPr>
          <w:sz w:val="28"/>
          <w:szCs w:val="28"/>
        </w:rPr>
        <w:t xml:space="preserve">  </w:t>
      </w:r>
      <w:r w:rsidR="00B136C1">
        <w:rPr>
          <w:sz w:val="28"/>
          <w:szCs w:val="28"/>
        </w:rPr>
        <w:t xml:space="preserve">  </w:t>
      </w:r>
      <w:r w:rsidR="00403214">
        <w:rPr>
          <w:sz w:val="28"/>
          <w:szCs w:val="28"/>
        </w:rPr>
        <w:t>or follow the written instructions below.</w:t>
      </w:r>
    </w:p>
    <w:p w14:paraId="4C40C3C0" w14:textId="0F8A92DD" w:rsidR="00403214" w:rsidRDefault="00403214" w:rsidP="002C0EBD">
      <w:pPr>
        <w:spacing w:after="0"/>
        <w:rPr>
          <w:sz w:val="28"/>
          <w:szCs w:val="28"/>
        </w:rPr>
      </w:pPr>
    </w:p>
    <w:p w14:paraId="5230CF06" w14:textId="0FFA46AD" w:rsidR="00653697" w:rsidRDefault="00653697" w:rsidP="002C0EB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a mandala?</w:t>
      </w:r>
    </w:p>
    <w:p w14:paraId="0F76258E" w14:textId="22ABADAB" w:rsidR="00653697" w:rsidRPr="00653697" w:rsidRDefault="00653697" w:rsidP="002C0E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Mandala is a Sanskrit word that loosely translates as “circle” or “center.”  We often associate mandalas with circular forms with repeating colors or patterns that radiate from a center point.  </w:t>
      </w:r>
      <w:r w:rsidR="006A2AF3">
        <w:rPr>
          <w:sz w:val="28"/>
          <w:szCs w:val="28"/>
        </w:rPr>
        <w:t xml:space="preserve">Mandalas can be found everywhere, both in nature, and throughout the art of many cultures.  </w:t>
      </w:r>
      <w:r>
        <w:rPr>
          <w:sz w:val="28"/>
          <w:szCs w:val="28"/>
        </w:rPr>
        <w:t xml:space="preserve">In Hindu and Buddhist traditions, a mandala is an object of meditation to aid in one’s spiritual development.  It </w:t>
      </w:r>
      <w:r w:rsidR="006A2AF3">
        <w:rPr>
          <w:sz w:val="28"/>
          <w:szCs w:val="28"/>
        </w:rPr>
        <w:t>is meant to represent the universe, the cycle of birth-life-death, and the interconnectedness of all things.  Creating a mandala can be a calming, meditative experience that leads to feelings of happiness, peace and well-being, eases stress and anxiety, and activates creativity and improves focus.</w:t>
      </w:r>
    </w:p>
    <w:p w14:paraId="7B2ABE90" w14:textId="423EBF6F" w:rsidR="00653697" w:rsidRDefault="00653697" w:rsidP="002C0EBD">
      <w:pPr>
        <w:spacing w:after="0"/>
        <w:rPr>
          <w:sz w:val="28"/>
          <w:szCs w:val="28"/>
        </w:rPr>
      </w:pPr>
    </w:p>
    <w:p w14:paraId="7C42EA40" w14:textId="7948E42F" w:rsidR="006A2AF3" w:rsidRPr="006A2AF3" w:rsidRDefault="006A2AF3" w:rsidP="002C0EB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</w:p>
    <w:p w14:paraId="557D1B01" w14:textId="79EDE615" w:rsidR="00F14865" w:rsidRDefault="00403214" w:rsidP="004032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03214">
        <w:rPr>
          <w:sz w:val="28"/>
          <w:szCs w:val="28"/>
        </w:rPr>
        <w:t>Beginning with a</w:t>
      </w:r>
      <w:r w:rsidR="006A2AF3">
        <w:rPr>
          <w:sz w:val="28"/>
          <w:szCs w:val="28"/>
        </w:rPr>
        <w:t xml:space="preserve"> stripped</w:t>
      </w:r>
      <w:r w:rsidRPr="00403214">
        <w:rPr>
          <w:sz w:val="28"/>
          <w:szCs w:val="28"/>
        </w:rPr>
        <w:t xml:space="preserve"> CD (no silver), </w:t>
      </w:r>
      <w:r w:rsidR="001D7CC4">
        <w:rPr>
          <w:sz w:val="28"/>
          <w:szCs w:val="28"/>
        </w:rPr>
        <w:t>remove the center label (if present) with an adhesive remover spray or with soap and water.  W</w:t>
      </w:r>
      <w:r w:rsidRPr="00403214">
        <w:rPr>
          <w:sz w:val="28"/>
          <w:szCs w:val="28"/>
        </w:rPr>
        <w:t>ash the CD with soap and water and dry thoroughly.  You may also clean the CD with rubbing alcohol and a cotton ball or tissue to ensure that it’s completely clean.</w:t>
      </w:r>
    </w:p>
    <w:p w14:paraId="44E10F12" w14:textId="75A7D261" w:rsidR="00403214" w:rsidRDefault="00403214" w:rsidP="004032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Using a few small pieces of tape</w:t>
      </w:r>
      <w:r w:rsidR="00653697">
        <w:rPr>
          <w:sz w:val="28"/>
          <w:szCs w:val="28"/>
        </w:rPr>
        <w:t xml:space="preserve"> painters/masking tape</w:t>
      </w:r>
      <w:r>
        <w:rPr>
          <w:sz w:val="28"/>
          <w:szCs w:val="28"/>
        </w:rPr>
        <w:t>, secure your CD over one of the included mandala designs or</w:t>
      </w:r>
      <w:r w:rsidR="006A2AF3">
        <w:rPr>
          <w:sz w:val="28"/>
          <w:szCs w:val="28"/>
        </w:rPr>
        <w:t xml:space="preserve"> over</w:t>
      </w:r>
      <w:r>
        <w:rPr>
          <w:sz w:val="28"/>
          <w:szCs w:val="28"/>
        </w:rPr>
        <w:t xml:space="preserve"> a design of your own making.  (To do this, simply trace the CD onto a piece of paper, draw a design, and use that as your pattern.)</w:t>
      </w:r>
      <w:r w:rsidR="00F26B9E">
        <w:rPr>
          <w:sz w:val="28"/>
          <w:szCs w:val="28"/>
        </w:rPr>
        <w:t xml:space="preserve">  Be aware of how you place your pattern, so that you’ll be able to hang your mandala by the hole that’s been pre-punched.</w:t>
      </w:r>
    </w:p>
    <w:p w14:paraId="30AC8280" w14:textId="1D105D62" w:rsidR="00403214" w:rsidRDefault="00403214" w:rsidP="004032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Trim a </w:t>
      </w:r>
      <w:r w:rsidR="00653697">
        <w:rPr>
          <w:sz w:val="28"/>
          <w:szCs w:val="28"/>
        </w:rPr>
        <w:t>tiny</w:t>
      </w:r>
      <w:r>
        <w:rPr>
          <w:sz w:val="28"/>
          <w:szCs w:val="28"/>
        </w:rPr>
        <w:t xml:space="preserve"> corner off of the piping bag with the puffy paint inside.  Trace the lines of your design with the puffy paint.  </w:t>
      </w:r>
      <w:r w:rsidR="00653697">
        <w:rPr>
          <w:sz w:val="28"/>
          <w:szCs w:val="28"/>
        </w:rPr>
        <w:t xml:space="preserve">Avoid touching the tip of the piping bag to your CD, as this will result in smudged lines.  </w:t>
      </w:r>
      <w:r>
        <w:rPr>
          <w:sz w:val="28"/>
          <w:szCs w:val="28"/>
        </w:rPr>
        <w:t>Set aside to dry completely.  This will take several hours.</w:t>
      </w:r>
    </w:p>
    <w:p w14:paraId="79E58EF8" w14:textId="1907D1A7" w:rsidR="00F26B9E" w:rsidRDefault="00F26B9E" w:rsidP="004032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Once the outlines are dry, fill in design areas with glass paint, using a paintbrush to spread the paint and get it into corners.  </w:t>
      </w:r>
      <w:r w:rsidR="00653697">
        <w:rPr>
          <w:sz w:val="28"/>
          <w:szCs w:val="28"/>
        </w:rPr>
        <w:t xml:space="preserve">Apply generously.  </w:t>
      </w:r>
      <w:r w:rsidRPr="00653697">
        <w:rPr>
          <w:sz w:val="28"/>
          <w:szCs w:val="28"/>
          <w:u w:val="single"/>
        </w:rPr>
        <w:t>This paint tends to dry quickly, so it’s best to work one color at a time.</w:t>
      </w:r>
      <w:r>
        <w:rPr>
          <w:sz w:val="28"/>
          <w:szCs w:val="28"/>
        </w:rPr>
        <w:t xml:space="preserve">  You can come back and add a second coat after the first coat is dry if darker colors or better coverage is desired.  Allow to dry.</w:t>
      </w:r>
    </w:p>
    <w:p w14:paraId="6D10ADCB" w14:textId="13780984" w:rsidR="00F26B9E" w:rsidRDefault="00F26B9E" w:rsidP="004032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String cord through the CD, decorate with beads or other embellishments if desired, and hang.  </w:t>
      </w:r>
    </w:p>
    <w:p w14:paraId="7F11C539" w14:textId="6071F9D7" w:rsidR="00F26B9E" w:rsidRPr="00403214" w:rsidRDefault="00F26B9E" w:rsidP="004032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help in </w:t>
      </w:r>
      <w:r w:rsidR="00653697">
        <w:rPr>
          <w:sz w:val="28"/>
          <w:szCs w:val="28"/>
        </w:rPr>
        <w:t>preparing</w:t>
      </w:r>
      <w:r>
        <w:rPr>
          <w:sz w:val="28"/>
          <w:szCs w:val="28"/>
        </w:rPr>
        <w:t xml:space="preserve"> your second CD, please watch the instructional video from the link listed above.</w:t>
      </w:r>
    </w:p>
    <w:p w14:paraId="04CE231B" w14:textId="73258664" w:rsidR="00D73349" w:rsidRDefault="00D73349" w:rsidP="002C0EBD">
      <w:pPr>
        <w:spacing w:after="0"/>
        <w:rPr>
          <w:sz w:val="28"/>
          <w:szCs w:val="28"/>
        </w:rPr>
      </w:pPr>
    </w:p>
    <w:p w14:paraId="312C3FC2" w14:textId="77777777" w:rsidR="00D73349" w:rsidRDefault="00D73349" w:rsidP="00D73349">
      <w:pPr>
        <w:spacing w:after="0"/>
        <w:rPr>
          <w:b/>
          <w:bCs/>
          <w:sz w:val="28"/>
          <w:szCs w:val="28"/>
        </w:rPr>
      </w:pPr>
      <w:r w:rsidRPr="00753F9B">
        <w:rPr>
          <w:b/>
          <w:bCs/>
          <w:sz w:val="28"/>
          <w:szCs w:val="28"/>
        </w:rPr>
        <w:t xml:space="preserve">Questions?  Call us at 860-828-7126 or email Anne Henriques at </w:t>
      </w:r>
      <w:hyperlink r:id="rId7" w:history="1">
        <w:r w:rsidRPr="00753F9B">
          <w:rPr>
            <w:rStyle w:val="Hyperlink"/>
            <w:b/>
            <w:bCs/>
            <w:sz w:val="28"/>
            <w:szCs w:val="28"/>
          </w:rPr>
          <w:t>ahenriques@berlinpeck.org</w:t>
        </w:r>
      </w:hyperlink>
      <w:r w:rsidRPr="00753F9B">
        <w:rPr>
          <w:b/>
          <w:bCs/>
          <w:sz w:val="28"/>
          <w:szCs w:val="28"/>
        </w:rPr>
        <w:t>.</w:t>
      </w:r>
    </w:p>
    <w:p w14:paraId="797C9505" w14:textId="3B6DCFD3" w:rsidR="00D73349" w:rsidRDefault="00D73349" w:rsidP="002C0EBD">
      <w:pPr>
        <w:spacing w:after="0"/>
        <w:rPr>
          <w:sz w:val="28"/>
          <w:szCs w:val="28"/>
        </w:rPr>
      </w:pPr>
    </w:p>
    <w:p w14:paraId="7ECA9C34" w14:textId="3DD76CD4" w:rsidR="00D73349" w:rsidRDefault="00D73349" w:rsidP="002C0EBD">
      <w:pPr>
        <w:spacing w:after="0"/>
        <w:rPr>
          <w:sz w:val="28"/>
          <w:szCs w:val="28"/>
        </w:rPr>
      </w:pPr>
    </w:p>
    <w:p w14:paraId="0D79DAB8" w14:textId="77777777" w:rsidR="00BF4E24" w:rsidRDefault="00BF4E24" w:rsidP="002C0EBD">
      <w:pPr>
        <w:spacing w:after="0"/>
        <w:rPr>
          <w:b/>
          <w:bCs/>
          <w:sz w:val="28"/>
          <w:szCs w:val="28"/>
        </w:rPr>
      </w:pPr>
    </w:p>
    <w:sectPr w:rsidR="00BF4E24" w:rsidSect="00E57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F23E0"/>
    <w:multiLevelType w:val="hybridMultilevel"/>
    <w:tmpl w:val="6B34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BD"/>
    <w:rsid w:val="00022C99"/>
    <w:rsid w:val="00076A34"/>
    <w:rsid w:val="000E5A4C"/>
    <w:rsid w:val="00107465"/>
    <w:rsid w:val="00145997"/>
    <w:rsid w:val="00170964"/>
    <w:rsid w:val="001C15B3"/>
    <w:rsid w:val="001C6D4B"/>
    <w:rsid w:val="001D7CC4"/>
    <w:rsid w:val="002C0EBD"/>
    <w:rsid w:val="002E67F1"/>
    <w:rsid w:val="002F6521"/>
    <w:rsid w:val="003336ED"/>
    <w:rsid w:val="00356156"/>
    <w:rsid w:val="00361237"/>
    <w:rsid w:val="003B6969"/>
    <w:rsid w:val="003D30BE"/>
    <w:rsid w:val="003D40B6"/>
    <w:rsid w:val="00403214"/>
    <w:rsid w:val="00467D74"/>
    <w:rsid w:val="0049217F"/>
    <w:rsid w:val="004C281E"/>
    <w:rsid w:val="004D0FC6"/>
    <w:rsid w:val="004D329A"/>
    <w:rsid w:val="004D53BE"/>
    <w:rsid w:val="005A321F"/>
    <w:rsid w:val="005A7CC6"/>
    <w:rsid w:val="00615F83"/>
    <w:rsid w:val="00653697"/>
    <w:rsid w:val="006A2AF3"/>
    <w:rsid w:val="006E614B"/>
    <w:rsid w:val="007139E2"/>
    <w:rsid w:val="0074181C"/>
    <w:rsid w:val="00753F9B"/>
    <w:rsid w:val="007655C0"/>
    <w:rsid w:val="0079732E"/>
    <w:rsid w:val="007C4630"/>
    <w:rsid w:val="00847B25"/>
    <w:rsid w:val="00864A61"/>
    <w:rsid w:val="009506F9"/>
    <w:rsid w:val="00987544"/>
    <w:rsid w:val="00A030CD"/>
    <w:rsid w:val="00A0557C"/>
    <w:rsid w:val="00A65804"/>
    <w:rsid w:val="00A65D11"/>
    <w:rsid w:val="00A84CBA"/>
    <w:rsid w:val="00B136C1"/>
    <w:rsid w:val="00B44C32"/>
    <w:rsid w:val="00B72D51"/>
    <w:rsid w:val="00BA6EA6"/>
    <w:rsid w:val="00BF4E24"/>
    <w:rsid w:val="00C605EB"/>
    <w:rsid w:val="00D73349"/>
    <w:rsid w:val="00DA11C8"/>
    <w:rsid w:val="00DD5197"/>
    <w:rsid w:val="00E54A94"/>
    <w:rsid w:val="00E57128"/>
    <w:rsid w:val="00F06366"/>
    <w:rsid w:val="00F14865"/>
    <w:rsid w:val="00F26B9E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627A"/>
  <w15:chartTrackingRefBased/>
  <w15:docId w15:val="{E0331D0B-2AA5-4654-866C-584D991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D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enriques@berlinpe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linpeck.org/events/take-mak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Henriques</dc:creator>
  <cp:keywords/>
  <dc:description/>
  <cp:lastModifiedBy>Anne Henriques</cp:lastModifiedBy>
  <cp:revision>4</cp:revision>
  <cp:lastPrinted>2020-07-17T14:21:00Z</cp:lastPrinted>
  <dcterms:created xsi:type="dcterms:W3CDTF">2020-12-04T15:33:00Z</dcterms:created>
  <dcterms:modified xsi:type="dcterms:W3CDTF">2020-12-11T17:13:00Z</dcterms:modified>
</cp:coreProperties>
</file>